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05" w:rsidRPr="00522005" w:rsidRDefault="00522005" w:rsidP="00522005">
      <w:pPr>
        <w:spacing w:after="0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b/>
          <w:bCs/>
          <w:color w:val="053E04"/>
          <w:sz w:val="32"/>
          <w:szCs w:val="32"/>
          <w:lang w:eastAsia="ru-RU"/>
        </w:rPr>
        <w:t>ИЗБИРАТЕЛЬНАЯ КОМИССИЯ</w:t>
      </w:r>
    </w:p>
    <w:p w:rsidR="00522005" w:rsidRPr="00522005" w:rsidRDefault="00522005" w:rsidP="00522005">
      <w:pPr>
        <w:spacing w:after="0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b/>
          <w:bCs/>
          <w:color w:val="053E04"/>
          <w:sz w:val="32"/>
          <w:szCs w:val="32"/>
          <w:lang w:eastAsia="ru-RU"/>
        </w:rPr>
        <w:t>ОРЛОВСКОЙ ОБЛАСТИ</w:t>
      </w:r>
    </w:p>
    <w:p w:rsidR="00522005" w:rsidRPr="00522005" w:rsidRDefault="00522005" w:rsidP="00522005">
      <w:pPr>
        <w:spacing w:after="0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t> </w:t>
      </w:r>
    </w:p>
    <w:p w:rsidR="00522005" w:rsidRPr="00522005" w:rsidRDefault="00522005" w:rsidP="00522005">
      <w:pPr>
        <w:spacing w:after="0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b/>
          <w:bCs/>
          <w:color w:val="053E04"/>
          <w:spacing w:val="80"/>
          <w:sz w:val="32"/>
          <w:szCs w:val="32"/>
          <w:lang w:eastAsia="ru-RU"/>
        </w:rPr>
        <w:t>ПОСТАНОВЛЕНИЕ</w:t>
      </w:r>
    </w:p>
    <w:p w:rsidR="00522005" w:rsidRPr="00522005" w:rsidRDefault="00522005" w:rsidP="00522005">
      <w:pPr>
        <w:spacing w:after="0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tbl>
      <w:tblPr>
        <w:tblW w:w="9540" w:type="dxa"/>
        <w:tblCellMar>
          <w:left w:w="0" w:type="dxa"/>
          <w:right w:w="0" w:type="dxa"/>
        </w:tblCellMar>
        <w:tblLook w:val="04A0"/>
      </w:tblPr>
      <w:tblGrid>
        <w:gridCol w:w="3249"/>
        <w:gridCol w:w="3107"/>
        <w:gridCol w:w="3184"/>
      </w:tblGrid>
      <w:tr w:rsidR="00522005" w:rsidRPr="00522005" w:rsidTr="00522005">
        <w:tc>
          <w:tcPr>
            <w:tcW w:w="3249" w:type="dxa"/>
            <w:tcBorders>
              <w:top w:val="nil"/>
              <w:left w:val="nil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005" w:rsidRPr="00522005" w:rsidRDefault="00522005" w:rsidP="00522005">
            <w:pPr>
              <w:spacing w:after="0" w:line="220" w:lineRule="atLeast"/>
              <w:jc w:val="center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22005">
              <w:rPr>
                <w:rFonts w:ascii="Arial" w:eastAsia="Times New Roman" w:hAnsi="Arial" w:cs="Arial"/>
                <w:color w:val="053E04"/>
                <w:sz w:val="28"/>
                <w:szCs w:val="28"/>
                <w:lang w:eastAsia="ru-RU"/>
              </w:rPr>
              <w:t>4 октября 2012 г.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005" w:rsidRPr="00522005" w:rsidRDefault="00522005" w:rsidP="00522005">
            <w:pPr>
              <w:spacing w:after="0" w:line="220" w:lineRule="atLeast"/>
              <w:jc w:val="center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22005">
              <w:rPr>
                <w:rFonts w:ascii="Arial" w:eastAsia="Times New Roman" w:hAnsi="Arial" w:cs="Arial"/>
                <w:color w:val="053E04"/>
                <w:sz w:val="28"/>
                <w:szCs w:val="28"/>
                <w:lang w:eastAsia="ru-RU"/>
              </w:rPr>
              <w:t>              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005" w:rsidRPr="00522005" w:rsidRDefault="00522005" w:rsidP="00522005">
            <w:pPr>
              <w:spacing w:after="0" w:line="220" w:lineRule="atLeast"/>
              <w:jc w:val="center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22005">
              <w:rPr>
                <w:rFonts w:ascii="Arial" w:eastAsia="Times New Roman" w:hAnsi="Arial" w:cs="Arial"/>
                <w:color w:val="053E04"/>
                <w:sz w:val="28"/>
                <w:szCs w:val="28"/>
                <w:lang w:eastAsia="ru-RU"/>
              </w:rPr>
              <w:t>№ 58/361-5</w:t>
            </w:r>
          </w:p>
        </w:tc>
      </w:tr>
    </w:tbl>
    <w:p w:rsidR="00522005" w:rsidRPr="00522005" w:rsidRDefault="00522005" w:rsidP="00522005">
      <w:pPr>
        <w:spacing w:after="0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p w:rsidR="00522005" w:rsidRPr="00522005" w:rsidRDefault="00522005" w:rsidP="00522005">
      <w:pPr>
        <w:spacing w:after="0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г. Орел</w:t>
      </w:r>
    </w:p>
    <w:p w:rsidR="00522005" w:rsidRPr="00522005" w:rsidRDefault="00522005" w:rsidP="00522005">
      <w:pPr>
        <w:spacing w:after="0" w:line="301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t> </w:t>
      </w:r>
    </w:p>
    <w:p w:rsidR="00522005" w:rsidRPr="00522005" w:rsidRDefault="00522005" w:rsidP="00522005">
      <w:pPr>
        <w:spacing w:after="0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b/>
          <w:bCs/>
          <w:color w:val="053E04"/>
          <w:sz w:val="28"/>
          <w:szCs w:val="28"/>
          <w:lang w:eastAsia="ru-RU"/>
        </w:rPr>
        <w:t>О готовности</w:t>
      </w:r>
      <w:r w:rsidRPr="00522005">
        <w:rPr>
          <w:rFonts w:ascii="Arial" w:eastAsia="Times New Roman" w:hAnsi="Arial" w:cs="Arial"/>
          <w:b/>
          <w:bCs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b/>
          <w:bCs/>
          <w:color w:val="053E04"/>
          <w:sz w:val="28"/>
          <w:szCs w:val="28"/>
          <w:lang w:eastAsia="ru-RU"/>
        </w:rPr>
        <w:t>избирательных комиссий Орловской области</w:t>
      </w:r>
    </w:p>
    <w:p w:rsidR="00522005" w:rsidRPr="00522005" w:rsidRDefault="00522005" w:rsidP="00522005">
      <w:pPr>
        <w:spacing w:after="0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b/>
          <w:bCs/>
          <w:color w:val="053E04"/>
          <w:sz w:val="28"/>
          <w:szCs w:val="28"/>
          <w:lang w:eastAsia="ru-RU"/>
        </w:rPr>
        <w:t>к выборам в органы местного самоуправления Орловской области</w:t>
      </w:r>
      <w:r w:rsidRPr="00522005">
        <w:rPr>
          <w:rFonts w:ascii="Arial" w:eastAsia="Times New Roman" w:hAnsi="Arial" w:cs="Arial"/>
          <w:b/>
          <w:bCs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b/>
          <w:bCs/>
          <w:color w:val="053E04"/>
          <w:sz w:val="28"/>
          <w:szCs w:val="28"/>
          <w:lang w:eastAsia="ru-RU"/>
        </w:rPr>
        <w:br/>
        <w:t>в единый день голосования 14 октября 2012 года</w:t>
      </w:r>
    </w:p>
    <w:p w:rsidR="00522005" w:rsidRPr="00522005" w:rsidRDefault="00522005" w:rsidP="00522005">
      <w:pPr>
        <w:spacing w:after="0" w:line="301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t> </w:t>
      </w:r>
    </w:p>
    <w:p w:rsidR="00522005" w:rsidRPr="00522005" w:rsidRDefault="00522005" w:rsidP="00522005">
      <w:pPr>
        <w:spacing w:after="0" w:line="301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 xml:space="preserve">Заслушав и обсудив доклад секретаря Избирательной комиссии Орловской области Л.Л. Маркиной, выступления председателя муниципальной избирательной комиссии города Орла Андриановой Татьяны Дмитриевны, председателя территориальной избирательной комиссии города Ливны </w:t>
      </w:r>
      <w:proofErr w:type="spellStart"/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Кофановой</w:t>
      </w:r>
      <w:proofErr w:type="spellEnd"/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 xml:space="preserve"> Людмилы Ивановны, председателя территориальной избирательной комиссии </w:t>
      </w:r>
      <w:proofErr w:type="spellStart"/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Глазуновского</w:t>
      </w:r>
      <w:proofErr w:type="spellEnd"/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 xml:space="preserve"> района Тарасовой Валентины Александровны, председателя территориальной избирательной комиссии Дмитровского района Котова Сергея Сергеевича, председателя территориальной избирательной комиссии Орловского района Овсянникова Ивана Николаевича, председателя территориальной избирательной комиссии </w:t>
      </w:r>
      <w:proofErr w:type="spellStart"/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Троснянского</w:t>
      </w:r>
      <w:proofErr w:type="spellEnd"/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 xml:space="preserve"> района </w:t>
      </w:r>
      <w:proofErr w:type="spellStart"/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Фроловичева</w:t>
      </w:r>
      <w:proofErr w:type="spellEnd"/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 xml:space="preserve"> Александра Вячеславовича о готовности избирательных комиссий к выборам в органы местного самоуправления Орловской области в единый день голосования 14 октября 2012 года, Избирательная комиссия Орловской области отмечает, что деятельность избирательных комиссий по подготовке</w:t>
      </w:r>
      <w:r w:rsidRPr="00522005">
        <w:rPr>
          <w:rFonts w:ascii="Arial" w:eastAsia="Times New Roman" w:hAnsi="Arial" w:cs="Arial"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 xml:space="preserve">назначенных на 14 октября 2012 года досрочных и дополнительных выборов в органы местного самоуправления Орловской области </w:t>
      </w:r>
      <w:proofErr w:type="spellStart"/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осуществлятся</w:t>
      </w:r>
      <w:proofErr w:type="spellEnd"/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 xml:space="preserve"> в порядке и в сроки, установленные федеральным и областным законодательством, календарными планами основных мероприятий по подготовке и проведению выборов, иными нормативными актами избирательных комиссий.</w:t>
      </w:r>
    </w:p>
    <w:p w:rsidR="00522005" w:rsidRPr="00522005" w:rsidRDefault="00522005" w:rsidP="00522005">
      <w:pPr>
        <w:spacing w:after="0" w:line="301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На основании изложенного, руководствуясь пунктом 10 статьи 13 Федерального закона «Об основных гарантиях избирательных прав и права на участие в референдуме граждан Российской Федерации», статьей 11 Закона Орловской области «Об Избирательной комиссии Орловской области», Избирательная комиссия Орловской области ПОСТАНОВЛЯЕТ:</w:t>
      </w:r>
    </w:p>
    <w:p w:rsidR="00522005" w:rsidRPr="00522005" w:rsidRDefault="00522005" w:rsidP="00522005">
      <w:pPr>
        <w:spacing w:after="0" w:line="301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1. Принять к сведению информацию о работе избирательных комиссий, организующих выборы в органы местного самоуправления Орловской области 14 октября 2012 года.</w:t>
      </w:r>
    </w:p>
    <w:p w:rsidR="00522005" w:rsidRPr="00522005" w:rsidRDefault="00522005" w:rsidP="00522005">
      <w:pPr>
        <w:spacing w:after="0" w:line="301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lastRenderedPageBreak/>
        <w:t>2. Обратить внимание избирательных комиссий, организующих проведение выборов, на неукоснительное соблюдение действующего законодательства на всех этапах избирательных кампаний,</w:t>
      </w:r>
      <w:r w:rsidRPr="00522005">
        <w:rPr>
          <w:rFonts w:ascii="Arial" w:eastAsia="Times New Roman" w:hAnsi="Arial" w:cs="Arial"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уделив особое внимание:</w:t>
      </w:r>
    </w:p>
    <w:p w:rsidR="00522005" w:rsidRPr="00522005" w:rsidRDefault="00522005" w:rsidP="00522005">
      <w:pPr>
        <w:spacing w:after="0" w:line="301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в оставшееся до дня голосования время – информированию о ходе избирательной кампании, дате, времени и порядке голосования, участниках избирательного процесса, прежде всего молодых избирателей и граждан</w:t>
      </w:r>
      <w:r w:rsidRPr="00522005">
        <w:rPr>
          <w:rFonts w:ascii="Arial" w:eastAsia="Times New Roman" w:hAnsi="Arial" w:cs="Arial"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br/>
        <w:t>с ограниченными физическими возможностями, а также эффективному использованию для информирования избирателей эфирного времени, печатной площади периодических печатных изданий, выполнению правил проведения предвыборной агитации всеми участниками избирательного процесса, рассмотрению в установленном законодательством порядке жалоб, заявлений и обращений, уточнению списков избирателей, передаче избирательных бюллетеней, другой избирательной документации в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br/>
        <w:t> участковые избирательные комиссии, обучению членов участковых избирательных комиссий;</w:t>
      </w:r>
    </w:p>
    <w:p w:rsidR="00522005" w:rsidRPr="00522005" w:rsidRDefault="00522005" w:rsidP="00522005">
      <w:pPr>
        <w:spacing w:after="0" w:line="301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в день голосования – соблюдению участковыми избирательными комиссиями порядка и правил проведения голосования, включая голосование вне помещений для голосования, обеспечению избирательных прав отдельных категорий избирателей, прежде всего граждан с ограниченными физическими возможностями, молодежи, а по завершении времени голосования – подсчету голосов избирателей, установлению итогов голосования, составлению протоколов об итогах голосования, выдаче</w:t>
      </w:r>
      <w:r w:rsidRPr="00522005">
        <w:rPr>
          <w:rFonts w:ascii="Arial" w:eastAsia="Times New Roman" w:hAnsi="Arial" w:cs="Arial"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br/>
        <w:t>их заверенных копий, обеспечению сохранности избирательных бюллетеней, другой избирательной документации, в том числе при их доставке</w:t>
      </w:r>
      <w:r w:rsidRPr="00522005">
        <w:rPr>
          <w:rFonts w:ascii="Arial" w:eastAsia="Times New Roman" w:hAnsi="Arial" w:cs="Arial"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br/>
        <w:t>в вышестоящие избирательные комиссии, а также выполнению требований гласности и открытости процедуры подсчета голосов избирателей, установления итогов голосования.</w:t>
      </w:r>
    </w:p>
    <w:p w:rsidR="00522005" w:rsidRPr="00522005" w:rsidRDefault="00522005" w:rsidP="00522005">
      <w:pPr>
        <w:spacing w:after="0" w:line="301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3. Указать избирательным комиссиям, организующим выборы,</w:t>
      </w:r>
      <w:r w:rsidRPr="00522005">
        <w:rPr>
          <w:rFonts w:ascii="Arial" w:eastAsia="Times New Roman" w:hAnsi="Arial" w:cs="Arial"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br/>
        <w:t>на необходимость систематической информационно-разъяснительной работы со всеми участниками избирательного процесса, направленной</w:t>
      </w:r>
      <w:r w:rsidRPr="00522005">
        <w:rPr>
          <w:rFonts w:ascii="Arial" w:eastAsia="Times New Roman" w:hAnsi="Arial" w:cs="Arial"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br/>
        <w:t>на соблюдение ими норм действующего законодательства.</w:t>
      </w:r>
    </w:p>
    <w:p w:rsidR="00522005" w:rsidRPr="00522005" w:rsidRDefault="00522005" w:rsidP="00522005">
      <w:pPr>
        <w:spacing w:after="0" w:line="301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4. Обратить внимание политических партий, имеющих право участвовать в выборах, на необходимость проведения мероприятий</w:t>
      </w:r>
      <w:r w:rsidRPr="00522005">
        <w:rPr>
          <w:rFonts w:ascii="Arial" w:eastAsia="Times New Roman" w:hAnsi="Arial" w:cs="Arial"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br/>
        <w:t>и осуществления всех избирательных действий в строгом соответствии</w:t>
      </w:r>
      <w:r w:rsidRPr="00522005">
        <w:rPr>
          <w:rFonts w:ascii="Arial" w:eastAsia="Times New Roman" w:hAnsi="Arial" w:cs="Arial"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br/>
        <w:t>с действующим законодательством и уставом политической партии.</w:t>
      </w:r>
    </w:p>
    <w:p w:rsidR="00522005" w:rsidRPr="00522005" w:rsidRDefault="00522005" w:rsidP="00522005">
      <w:pPr>
        <w:spacing w:after="0" w:line="301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5. Рекомендовать политическим партиям, участвующим в выборах, проводить заблаговременную</w:t>
      </w:r>
      <w:r w:rsidRPr="00522005">
        <w:rPr>
          <w:rFonts w:ascii="Arial" w:eastAsia="Times New Roman" w:hAnsi="Arial" w:cs="Arial"/>
          <w:b/>
          <w:bCs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 xml:space="preserve">работу по подбору и 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lastRenderedPageBreak/>
        <w:t>подготовке членов избирательных комиссий с правом совещательного голоса и наблюдателей.</w:t>
      </w:r>
    </w:p>
    <w:p w:rsidR="00522005" w:rsidRPr="00522005" w:rsidRDefault="00522005" w:rsidP="00522005">
      <w:pPr>
        <w:spacing w:after="0" w:line="301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6.</w:t>
      </w:r>
      <w:r w:rsidRPr="00522005">
        <w:rPr>
          <w:rFonts w:ascii="Arial" w:eastAsia="Times New Roman" w:hAnsi="Arial" w:cs="Arial"/>
          <w:color w:val="053E04"/>
          <w:sz w:val="28"/>
          <w:lang w:eastAsia="ru-RU"/>
        </w:rPr>
        <w:t> </w:t>
      </w:r>
      <w:r w:rsidRPr="00522005">
        <w:rPr>
          <w:rFonts w:ascii="Arial" w:eastAsia="Times New Roman" w:hAnsi="Arial" w:cs="Arial"/>
          <w:color w:val="053E04"/>
          <w:sz w:val="28"/>
          <w:szCs w:val="28"/>
          <w:lang w:eastAsia="ru-RU"/>
        </w:rPr>
        <w:t>Разместить настоящее постановление на сайте Избирательной комиссии Орловской области в информационно-телекоммуникационной сети «Интернет».</w:t>
      </w:r>
    </w:p>
    <w:p w:rsidR="00522005" w:rsidRPr="00522005" w:rsidRDefault="00522005" w:rsidP="0052200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p w:rsidR="00522005" w:rsidRPr="00522005" w:rsidRDefault="00522005" w:rsidP="00522005">
      <w:pPr>
        <w:spacing w:after="0" w:line="220" w:lineRule="atLeast"/>
        <w:ind w:firstLine="709"/>
        <w:jc w:val="both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522005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48"/>
        <w:gridCol w:w="6120"/>
      </w:tblGrid>
      <w:tr w:rsidR="00522005" w:rsidRPr="00522005" w:rsidTr="0052200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005" w:rsidRPr="00522005" w:rsidRDefault="00522005" w:rsidP="0052200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2200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Председатель</w:t>
            </w:r>
            <w:r w:rsidRPr="0052200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br/>
              <w:t>Избирательной комиссии Орловской области</w:t>
            </w:r>
          </w:p>
          <w:p w:rsidR="00522005" w:rsidRPr="00522005" w:rsidRDefault="00522005" w:rsidP="0052200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2200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005" w:rsidRPr="00522005" w:rsidRDefault="00522005" w:rsidP="00522005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2200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br/>
            </w:r>
            <w:r w:rsidRPr="0052200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br/>
            </w:r>
            <w:r w:rsidRPr="00522005">
              <w:rPr>
                <w:rFonts w:ascii="Arial" w:eastAsia="Times New Roman" w:hAnsi="Arial" w:cs="Arial"/>
                <w:color w:val="053E04"/>
                <w:sz w:val="24"/>
                <w:szCs w:val="24"/>
                <w:lang w:eastAsia="ru-RU"/>
              </w:rPr>
              <w:t>В.В. Соколов</w:t>
            </w:r>
          </w:p>
        </w:tc>
      </w:tr>
      <w:tr w:rsidR="00522005" w:rsidRPr="00522005" w:rsidTr="0052200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005" w:rsidRPr="00522005" w:rsidRDefault="00522005" w:rsidP="00522005">
            <w:pPr>
              <w:spacing w:after="0" w:line="220" w:lineRule="atLeas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2200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Секретарь</w:t>
            </w:r>
            <w:r w:rsidRPr="0052200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br/>
              <w:t>Избирательной комиссии Орловской области</w:t>
            </w:r>
          </w:p>
        </w:tc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005" w:rsidRPr="00522005" w:rsidRDefault="00522005" w:rsidP="00522005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52200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br/>
            </w:r>
            <w:r w:rsidRPr="00522005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br/>
            </w:r>
            <w:r w:rsidRPr="00522005">
              <w:rPr>
                <w:rFonts w:ascii="Arial" w:eastAsia="Times New Roman" w:hAnsi="Arial" w:cs="Arial"/>
                <w:color w:val="053E04"/>
                <w:sz w:val="24"/>
                <w:szCs w:val="24"/>
                <w:lang w:eastAsia="ru-RU"/>
              </w:rPr>
              <w:t>Л.Л.Маркина</w:t>
            </w:r>
          </w:p>
        </w:tc>
      </w:tr>
    </w:tbl>
    <w:p w:rsidR="00113270" w:rsidRDefault="00113270"/>
    <w:sectPr w:rsidR="00113270" w:rsidSect="001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22005"/>
    <w:rsid w:val="00113270"/>
    <w:rsid w:val="0052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2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840">
          <w:marLeft w:val="360"/>
          <w:marRight w:val="5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2014-03-20T16:01:00Z</dcterms:created>
  <dcterms:modified xsi:type="dcterms:W3CDTF">2014-03-20T16:01:00Z</dcterms:modified>
</cp:coreProperties>
</file>